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B191" w14:textId="7BB7ABC8" w:rsidR="00F300CB" w:rsidRPr="00F01CA2" w:rsidRDefault="00F300CB" w:rsidP="00F01CA2">
      <w:pPr>
        <w:jc w:val="center"/>
        <w:rPr>
          <w:rFonts w:ascii="Arial" w:hAnsi="Arial" w:cs="Arial"/>
          <w:b/>
        </w:rPr>
      </w:pPr>
      <w:r w:rsidRPr="00F300CB">
        <w:rPr>
          <w:rFonts w:ascii="Arial" w:hAnsi="Arial" w:cs="Arial"/>
          <w:b/>
        </w:rPr>
        <w:t>P</w:t>
      </w:r>
      <w:r w:rsidR="00F01CA2">
        <w:rPr>
          <w:rFonts w:ascii="Arial" w:hAnsi="Arial" w:cs="Arial"/>
          <w:b/>
        </w:rPr>
        <w:t xml:space="preserve">art-Time Hourly Paid </w:t>
      </w:r>
      <w:r w:rsidR="001D55A3">
        <w:rPr>
          <w:rFonts w:ascii="Arial" w:hAnsi="Arial" w:cs="Arial"/>
          <w:b/>
        </w:rPr>
        <w:t>Rates 20</w:t>
      </w:r>
      <w:r w:rsidR="00487EC3">
        <w:rPr>
          <w:rFonts w:ascii="Arial" w:hAnsi="Arial" w:cs="Arial"/>
          <w:b/>
        </w:rPr>
        <w:t>2</w:t>
      </w:r>
      <w:r w:rsidR="0028443F">
        <w:rPr>
          <w:rFonts w:ascii="Arial" w:hAnsi="Arial" w:cs="Arial"/>
          <w:b/>
        </w:rPr>
        <w:t>4</w:t>
      </w:r>
      <w:r w:rsidR="00487EC3">
        <w:rPr>
          <w:rFonts w:ascii="Arial" w:hAnsi="Arial" w:cs="Arial"/>
          <w:b/>
        </w:rPr>
        <w:t>-2</w:t>
      </w:r>
      <w:r w:rsidR="0028443F">
        <w:rPr>
          <w:rFonts w:ascii="Arial" w:hAnsi="Arial" w:cs="Arial"/>
          <w:b/>
        </w:rPr>
        <w:t>5</w:t>
      </w:r>
    </w:p>
    <w:p w14:paraId="00EEED82" w14:textId="77777777" w:rsidR="00F300CB" w:rsidRDefault="00F300CB" w:rsidP="00F300CB">
      <w:pPr>
        <w:rPr>
          <w:rFonts w:ascii="Arial" w:hAnsi="Arial" w:cs="Arial"/>
          <w:lang w:val="en-US"/>
        </w:rPr>
      </w:pPr>
      <w:r w:rsidRPr="00F300CB">
        <w:rPr>
          <w:rFonts w:ascii="Arial" w:hAnsi="Arial" w:cs="Arial"/>
          <w:lang w:val="en-US"/>
        </w:rPr>
        <w:t xml:space="preserve">Payment for part time hourly paid </w:t>
      </w:r>
      <w:r w:rsidR="00F01CA2">
        <w:rPr>
          <w:rFonts w:ascii="Arial" w:hAnsi="Arial" w:cs="Arial"/>
          <w:lang w:val="en-US"/>
        </w:rPr>
        <w:t xml:space="preserve">(PTHP) </w:t>
      </w:r>
      <w:r w:rsidRPr="00F300CB">
        <w:rPr>
          <w:rFonts w:ascii="Arial" w:hAnsi="Arial" w:cs="Arial"/>
          <w:lang w:val="en-US"/>
        </w:rPr>
        <w:t>staff should be made at the appropriate University rate for the work</w:t>
      </w:r>
      <w:r w:rsidR="00F01CA2">
        <w:rPr>
          <w:rFonts w:ascii="Arial" w:hAnsi="Arial" w:cs="Arial"/>
          <w:lang w:val="en-US"/>
        </w:rPr>
        <w:t>,</w:t>
      </w:r>
      <w:r w:rsidRPr="00F300CB">
        <w:rPr>
          <w:rFonts w:ascii="Arial" w:hAnsi="Arial" w:cs="Arial"/>
          <w:lang w:val="en-US"/>
        </w:rPr>
        <w:t xml:space="preserve"> in line with the principles of equal pay and the University pay and grading structure.</w:t>
      </w:r>
    </w:p>
    <w:p w14:paraId="691A4201" w14:textId="0E29115D" w:rsidR="002009D9" w:rsidRDefault="002009D9" w:rsidP="002009D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</w:t>
      </w:r>
      <w:r w:rsidRPr="00757F06">
        <w:rPr>
          <w:rFonts w:ascii="Arial" w:hAnsi="Arial" w:cs="Arial"/>
          <w:b/>
          <w:lang w:val="en-US"/>
        </w:rPr>
        <w:t>academic</w:t>
      </w:r>
      <w:r>
        <w:rPr>
          <w:rFonts w:ascii="Arial" w:hAnsi="Arial" w:cs="Arial"/>
          <w:lang w:val="en-US"/>
        </w:rPr>
        <w:t xml:space="preserve"> PTHP staff there are two principle pay rates. With effect from </w:t>
      </w:r>
      <w:r w:rsidR="001D55A3">
        <w:rPr>
          <w:rFonts w:ascii="Arial" w:hAnsi="Arial" w:cs="Arial"/>
          <w:b/>
          <w:lang w:val="en-US"/>
        </w:rPr>
        <w:t xml:space="preserve">1 </w:t>
      </w:r>
      <w:r w:rsidR="00B333B1">
        <w:rPr>
          <w:rFonts w:ascii="Arial" w:hAnsi="Arial" w:cs="Arial"/>
          <w:b/>
          <w:lang w:val="en-US"/>
        </w:rPr>
        <w:t>August</w:t>
      </w:r>
      <w:r w:rsidR="001D55A3">
        <w:rPr>
          <w:rFonts w:ascii="Arial" w:hAnsi="Arial" w:cs="Arial"/>
          <w:b/>
          <w:lang w:val="en-US"/>
        </w:rPr>
        <w:t xml:space="preserve"> 20</w:t>
      </w:r>
      <w:r w:rsidR="00487EC3">
        <w:rPr>
          <w:rFonts w:ascii="Arial" w:hAnsi="Arial" w:cs="Arial"/>
          <w:b/>
          <w:lang w:val="en-US"/>
        </w:rPr>
        <w:t>2</w:t>
      </w:r>
      <w:r w:rsidR="0028443F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lang w:val="en-US"/>
        </w:rPr>
        <w:t xml:space="preserve"> the </w:t>
      </w:r>
      <w:r w:rsidRPr="001A4B50">
        <w:rPr>
          <w:rFonts w:ascii="Arial" w:hAnsi="Arial" w:cs="Arial"/>
          <w:b/>
          <w:lang w:val="en-US"/>
        </w:rPr>
        <w:t>Teaching Rate</w:t>
      </w:r>
      <w:r>
        <w:rPr>
          <w:rFonts w:ascii="Arial" w:hAnsi="Arial" w:cs="Arial"/>
          <w:b/>
          <w:lang w:val="en-US"/>
        </w:rPr>
        <w:t xml:space="preserve"> </w:t>
      </w:r>
      <w:r w:rsidRPr="001A4B50">
        <w:rPr>
          <w:rFonts w:ascii="Arial" w:hAnsi="Arial" w:cs="Arial"/>
          <w:lang w:val="en-US"/>
        </w:rPr>
        <w:t>(for HND/Undergraduate/Postgraduate teaching)</w:t>
      </w:r>
      <w:r>
        <w:rPr>
          <w:rFonts w:ascii="Arial" w:hAnsi="Arial" w:cs="Arial"/>
          <w:lang w:val="en-US"/>
        </w:rPr>
        <w:t xml:space="preserve">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9"/>
        <w:gridCol w:w="3004"/>
      </w:tblGrid>
      <w:tr w:rsidR="002009D9" w14:paraId="7C213EEA" w14:textId="77777777" w:rsidTr="00120300">
        <w:tc>
          <w:tcPr>
            <w:tcW w:w="9242" w:type="dxa"/>
            <w:gridSpan w:val="3"/>
          </w:tcPr>
          <w:p w14:paraId="2F631FE5" w14:textId="77777777" w:rsidR="002009D9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A4B50">
              <w:rPr>
                <w:rFonts w:ascii="Arial" w:hAnsi="Arial" w:cs="Arial"/>
                <w:b/>
                <w:lang w:val="en-US"/>
              </w:rPr>
              <w:t>Teaching Rate</w:t>
            </w:r>
          </w:p>
          <w:p w14:paraId="08CB58FB" w14:textId="77777777" w:rsidR="002009D9" w:rsidRPr="001A4B50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2009D9" w14:paraId="41785BA0" w14:textId="77777777" w:rsidTr="00120300">
        <w:tc>
          <w:tcPr>
            <w:tcW w:w="3080" w:type="dxa"/>
          </w:tcPr>
          <w:p w14:paraId="22779DE2" w14:textId="77777777" w:rsidR="002009D9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Basic Pay</w:t>
            </w:r>
            <w:r>
              <w:rPr>
                <w:rFonts w:ascii="Arial" w:hAnsi="Arial" w:cs="Arial"/>
                <w:b/>
                <w:lang w:val="en-US"/>
              </w:rPr>
              <w:t xml:space="preserve"> per Hour</w:t>
            </w:r>
          </w:p>
          <w:p w14:paraId="61F098C7" w14:textId="77777777" w:rsidR="002009D9" w:rsidRPr="00F300CB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1" w:type="dxa"/>
          </w:tcPr>
          <w:p w14:paraId="6621F48A" w14:textId="77777777" w:rsidR="002009D9" w:rsidRPr="00F300CB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Holiday Pay per Hour</w:t>
            </w:r>
          </w:p>
        </w:tc>
        <w:tc>
          <w:tcPr>
            <w:tcW w:w="3081" w:type="dxa"/>
          </w:tcPr>
          <w:p w14:paraId="3FAF41B4" w14:textId="77777777" w:rsidR="002009D9" w:rsidRPr="00F300CB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Total Pay per Hour</w:t>
            </w:r>
          </w:p>
        </w:tc>
      </w:tr>
      <w:tr w:rsidR="002009D9" w14:paraId="521CD564" w14:textId="77777777" w:rsidTr="00120300">
        <w:tc>
          <w:tcPr>
            <w:tcW w:w="3080" w:type="dxa"/>
          </w:tcPr>
          <w:p w14:paraId="415FDCAC" w14:textId="77777777" w:rsidR="002009D9" w:rsidRDefault="002009D9" w:rsidP="0012030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5A17A45" w14:textId="7FEA68AC" w:rsidR="002009D9" w:rsidRDefault="001011C8" w:rsidP="001203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B333B1">
              <w:rPr>
                <w:rFonts w:ascii="Arial" w:hAnsi="Arial" w:cs="Arial"/>
                <w:lang w:val="en-US"/>
              </w:rPr>
              <w:t>5</w:t>
            </w:r>
            <w:r w:rsidR="0028443F">
              <w:rPr>
                <w:rFonts w:ascii="Arial" w:hAnsi="Arial" w:cs="Arial"/>
                <w:lang w:val="en-US"/>
              </w:rPr>
              <w:t>2</w:t>
            </w:r>
            <w:r w:rsidR="00B333B1">
              <w:rPr>
                <w:rFonts w:ascii="Arial" w:hAnsi="Arial" w:cs="Arial"/>
                <w:lang w:val="en-US"/>
              </w:rPr>
              <w:t>.</w:t>
            </w:r>
            <w:r w:rsidR="0028443F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081" w:type="dxa"/>
          </w:tcPr>
          <w:p w14:paraId="6EDC5CFD" w14:textId="77777777" w:rsidR="002009D9" w:rsidRDefault="002009D9" w:rsidP="0012030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6E85165" w14:textId="68C2EB6A" w:rsidR="002009D9" w:rsidRDefault="001D55A3" w:rsidP="001203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46281D">
              <w:rPr>
                <w:rFonts w:ascii="Arial" w:hAnsi="Arial" w:cs="Arial"/>
                <w:lang w:val="en-US"/>
              </w:rPr>
              <w:t>8.</w:t>
            </w:r>
            <w:r w:rsidR="0028443F">
              <w:rPr>
                <w:rFonts w:ascii="Arial" w:hAnsi="Arial" w:cs="Arial"/>
                <w:lang w:val="en-US"/>
              </w:rPr>
              <w:t>93</w:t>
            </w:r>
          </w:p>
        </w:tc>
        <w:tc>
          <w:tcPr>
            <w:tcW w:w="3081" w:type="dxa"/>
          </w:tcPr>
          <w:p w14:paraId="6987505A" w14:textId="77777777" w:rsidR="002009D9" w:rsidRDefault="002009D9" w:rsidP="0012030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7228389" w14:textId="6A55D9D6" w:rsidR="002009D9" w:rsidRDefault="001011C8" w:rsidP="001203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28443F">
              <w:rPr>
                <w:rFonts w:ascii="Arial" w:hAnsi="Arial" w:cs="Arial"/>
                <w:lang w:val="en-US"/>
              </w:rPr>
              <w:t>61.09</w:t>
            </w:r>
          </w:p>
        </w:tc>
      </w:tr>
    </w:tbl>
    <w:p w14:paraId="37334721" w14:textId="77777777" w:rsidR="002009D9" w:rsidRDefault="002009D9" w:rsidP="002009D9">
      <w:pPr>
        <w:jc w:val="center"/>
        <w:rPr>
          <w:rFonts w:ascii="Arial" w:hAnsi="Arial" w:cs="Arial"/>
          <w:lang w:val="en-US"/>
        </w:rPr>
      </w:pPr>
    </w:p>
    <w:p w14:paraId="453C82BF" w14:textId="298D216F" w:rsidR="002009D9" w:rsidRPr="001A4B50" w:rsidRDefault="002009D9" w:rsidP="002009D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With effect from </w:t>
      </w:r>
      <w:r w:rsidR="001D55A3">
        <w:rPr>
          <w:rFonts w:ascii="Arial" w:hAnsi="Arial" w:cs="Arial"/>
          <w:b/>
          <w:lang w:val="en-US"/>
        </w:rPr>
        <w:t xml:space="preserve">1 </w:t>
      </w:r>
      <w:r w:rsidR="00B333B1">
        <w:rPr>
          <w:rFonts w:ascii="Arial" w:hAnsi="Arial" w:cs="Arial"/>
          <w:b/>
          <w:lang w:val="en-US"/>
        </w:rPr>
        <w:t>August</w:t>
      </w:r>
      <w:r w:rsidR="001D55A3">
        <w:rPr>
          <w:rFonts w:ascii="Arial" w:hAnsi="Arial" w:cs="Arial"/>
          <w:b/>
          <w:lang w:val="en-US"/>
        </w:rPr>
        <w:t xml:space="preserve"> 20</w:t>
      </w:r>
      <w:r w:rsidR="00487EC3">
        <w:rPr>
          <w:rFonts w:ascii="Arial" w:hAnsi="Arial" w:cs="Arial"/>
          <w:b/>
          <w:lang w:val="en-US"/>
        </w:rPr>
        <w:t>2</w:t>
      </w:r>
      <w:r w:rsidR="0028443F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b/>
          <w:lang w:val="en-US"/>
        </w:rPr>
        <w:t>Marking</w:t>
      </w:r>
      <w:r w:rsidRPr="001A4B50">
        <w:rPr>
          <w:rFonts w:ascii="Arial" w:hAnsi="Arial" w:cs="Arial"/>
          <w:b/>
          <w:lang w:val="en-US"/>
        </w:rPr>
        <w:t xml:space="preserve"> Rate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(for exam marking and exam board attendance)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9"/>
        <w:gridCol w:w="3004"/>
      </w:tblGrid>
      <w:tr w:rsidR="002009D9" w:rsidRPr="001A4B50" w14:paraId="5309D766" w14:textId="77777777" w:rsidTr="00120300">
        <w:tc>
          <w:tcPr>
            <w:tcW w:w="9242" w:type="dxa"/>
            <w:gridSpan w:val="3"/>
          </w:tcPr>
          <w:p w14:paraId="3D70B759" w14:textId="77777777" w:rsidR="002009D9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Marking</w:t>
            </w:r>
            <w:r w:rsidRPr="001A4B50">
              <w:rPr>
                <w:rFonts w:ascii="Arial" w:hAnsi="Arial" w:cs="Arial"/>
                <w:b/>
                <w:lang w:val="en-US"/>
              </w:rPr>
              <w:t xml:space="preserve"> Rate</w:t>
            </w:r>
          </w:p>
          <w:p w14:paraId="2836A2A2" w14:textId="77777777" w:rsidR="002009D9" w:rsidRPr="001A4B50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2009D9" w:rsidRPr="00F300CB" w14:paraId="32DC04F0" w14:textId="77777777" w:rsidTr="00120300">
        <w:tc>
          <w:tcPr>
            <w:tcW w:w="3080" w:type="dxa"/>
          </w:tcPr>
          <w:p w14:paraId="3B9946E3" w14:textId="77777777" w:rsidR="002009D9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Basic Pay</w:t>
            </w:r>
            <w:r>
              <w:rPr>
                <w:rFonts w:ascii="Arial" w:hAnsi="Arial" w:cs="Arial"/>
                <w:b/>
                <w:lang w:val="en-US"/>
              </w:rPr>
              <w:t xml:space="preserve"> per Hour</w:t>
            </w:r>
          </w:p>
          <w:p w14:paraId="02413C59" w14:textId="77777777" w:rsidR="002009D9" w:rsidRPr="00F300CB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1" w:type="dxa"/>
          </w:tcPr>
          <w:p w14:paraId="1BB4D98F" w14:textId="77777777" w:rsidR="002009D9" w:rsidRPr="00F300CB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Holiday Pay per Hour</w:t>
            </w:r>
          </w:p>
        </w:tc>
        <w:tc>
          <w:tcPr>
            <w:tcW w:w="3081" w:type="dxa"/>
          </w:tcPr>
          <w:p w14:paraId="040AF169" w14:textId="77777777" w:rsidR="002009D9" w:rsidRPr="00F300CB" w:rsidRDefault="002009D9" w:rsidP="001203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Total Pay per Hour</w:t>
            </w:r>
          </w:p>
        </w:tc>
      </w:tr>
      <w:tr w:rsidR="002009D9" w14:paraId="3B3CF1EA" w14:textId="77777777" w:rsidTr="00120300">
        <w:tc>
          <w:tcPr>
            <w:tcW w:w="3080" w:type="dxa"/>
          </w:tcPr>
          <w:p w14:paraId="3DB64314" w14:textId="77777777" w:rsidR="002009D9" w:rsidRDefault="002009D9" w:rsidP="0012030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4383295" w14:textId="49269499" w:rsidR="002009D9" w:rsidRDefault="00655A67" w:rsidP="001203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28443F">
              <w:rPr>
                <w:rFonts w:ascii="Arial" w:hAnsi="Arial" w:cs="Arial"/>
                <w:lang w:val="en-US"/>
              </w:rPr>
              <w:t>31.29</w:t>
            </w:r>
          </w:p>
        </w:tc>
        <w:tc>
          <w:tcPr>
            <w:tcW w:w="3081" w:type="dxa"/>
          </w:tcPr>
          <w:p w14:paraId="4AF92936" w14:textId="77777777" w:rsidR="002009D9" w:rsidRDefault="002009D9" w:rsidP="0012030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3AEE777" w14:textId="0EADE4F9" w:rsidR="002009D9" w:rsidRDefault="00655A67" w:rsidP="001203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B333B1">
              <w:rPr>
                <w:rFonts w:ascii="Arial" w:hAnsi="Arial" w:cs="Arial"/>
                <w:lang w:val="en-US"/>
              </w:rPr>
              <w:t>5.</w:t>
            </w:r>
            <w:r w:rsidR="0028443F"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3081" w:type="dxa"/>
          </w:tcPr>
          <w:p w14:paraId="77F29AD1" w14:textId="77777777" w:rsidR="002009D9" w:rsidRDefault="002009D9" w:rsidP="0012030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12A34EB" w14:textId="1CEF029F" w:rsidR="002009D9" w:rsidRDefault="00655A67" w:rsidP="001203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B333B1">
              <w:rPr>
                <w:rFonts w:ascii="Arial" w:hAnsi="Arial" w:cs="Arial"/>
                <w:lang w:val="en-US"/>
              </w:rPr>
              <w:t>3</w:t>
            </w:r>
            <w:r w:rsidR="0028443F">
              <w:rPr>
                <w:rFonts w:ascii="Arial" w:hAnsi="Arial" w:cs="Arial"/>
                <w:lang w:val="en-US"/>
              </w:rPr>
              <w:t>6.65</w:t>
            </w:r>
          </w:p>
        </w:tc>
      </w:tr>
    </w:tbl>
    <w:p w14:paraId="2C196FFB" w14:textId="77777777" w:rsidR="002009D9" w:rsidRDefault="002009D9" w:rsidP="00F300CB">
      <w:pPr>
        <w:rPr>
          <w:rFonts w:ascii="Arial" w:hAnsi="Arial" w:cs="Arial"/>
          <w:lang w:val="en-US"/>
        </w:rPr>
      </w:pPr>
    </w:p>
    <w:p w14:paraId="66E9BF15" w14:textId="120B1ED9" w:rsidR="00F300CB" w:rsidRDefault="00F300CB" w:rsidP="00F300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minimum rate with effect from </w:t>
      </w:r>
      <w:r w:rsidR="001D55A3">
        <w:rPr>
          <w:rFonts w:ascii="Arial" w:hAnsi="Arial" w:cs="Arial"/>
          <w:b/>
          <w:lang w:val="en-US"/>
        </w:rPr>
        <w:t>1</w:t>
      </w:r>
      <w:r w:rsidR="00051E08">
        <w:rPr>
          <w:rFonts w:ascii="Arial" w:hAnsi="Arial" w:cs="Arial"/>
          <w:b/>
          <w:lang w:val="en-US"/>
        </w:rPr>
        <w:t xml:space="preserve"> </w:t>
      </w:r>
      <w:r w:rsidR="00B333B1">
        <w:rPr>
          <w:rFonts w:ascii="Arial" w:hAnsi="Arial" w:cs="Arial"/>
          <w:b/>
          <w:lang w:val="en-US"/>
        </w:rPr>
        <w:t>August</w:t>
      </w:r>
      <w:r w:rsidR="00DE3C42">
        <w:rPr>
          <w:rFonts w:ascii="Arial" w:hAnsi="Arial" w:cs="Arial"/>
          <w:b/>
          <w:lang w:val="en-US"/>
        </w:rPr>
        <w:t xml:space="preserve"> </w:t>
      </w:r>
      <w:r w:rsidR="001D55A3">
        <w:rPr>
          <w:rFonts w:ascii="Arial" w:hAnsi="Arial" w:cs="Arial"/>
          <w:b/>
          <w:lang w:val="en-US"/>
        </w:rPr>
        <w:t>20</w:t>
      </w:r>
      <w:r w:rsidR="00487EC3">
        <w:rPr>
          <w:rFonts w:ascii="Arial" w:hAnsi="Arial" w:cs="Arial"/>
          <w:b/>
          <w:lang w:val="en-US"/>
        </w:rPr>
        <w:t>2</w:t>
      </w:r>
      <w:r w:rsidR="0028443F">
        <w:rPr>
          <w:rFonts w:ascii="Arial" w:hAnsi="Arial" w:cs="Arial"/>
          <w:b/>
          <w:lang w:val="en-US"/>
        </w:rPr>
        <w:t>4</w:t>
      </w:r>
      <w:r w:rsidRPr="00F300C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for </w:t>
      </w:r>
      <w:r w:rsidRPr="00F300CB">
        <w:rPr>
          <w:rFonts w:ascii="Arial" w:hAnsi="Arial" w:cs="Arial"/>
          <w:b/>
          <w:lang w:val="en-US"/>
        </w:rPr>
        <w:t>professional &amp; support</w:t>
      </w:r>
      <w:r>
        <w:rPr>
          <w:rFonts w:ascii="Arial" w:hAnsi="Arial" w:cs="Arial"/>
          <w:lang w:val="en-US"/>
        </w:rPr>
        <w:t xml:space="preserve"> PTHP staff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9"/>
        <w:gridCol w:w="3004"/>
      </w:tblGrid>
      <w:tr w:rsidR="00F300CB" w14:paraId="5FEA3C38" w14:textId="77777777" w:rsidTr="00F300CB">
        <w:tc>
          <w:tcPr>
            <w:tcW w:w="3080" w:type="dxa"/>
          </w:tcPr>
          <w:p w14:paraId="30546CBC" w14:textId="77777777" w:rsidR="00F300CB" w:rsidRDefault="00F300CB" w:rsidP="00F300C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Basic Pay</w:t>
            </w:r>
            <w:r>
              <w:rPr>
                <w:rFonts w:ascii="Arial" w:hAnsi="Arial" w:cs="Arial"/>
                <w:b/>
                <w:lang w:val="en-US"/>
              </w:rPr>
              <w:t xml:space="preserve"> per Hour</w:t>
            </w:r>
          </w:p>
          <w:p w14:paraId="31DC358D" w14:textId="77777777" w:rsidR="00F300CB" w:rsidRPr="00F300CB" w:rsidRDefault="00F300CB" w:rsidP="00F300C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1" w:type="dxa"/>
          </w:tcPr>
          <w:p w14:paraId="67FF201C" w14:textId="77777777" w:rsidR="00F300CB" w:rsidRPr="00F300CB" w:rsidRDefault="00F300CB" w:rsidP="00F300C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Holiday Pay per Hour</w:t>
            </w:r>
          </w:p>
        </w:tc>
        <w:tc>
          <w:tcPr>
            <w:tcW w:w="3081" w:type="dxa"/>
          </w:tcPr>
          <w:p w14:paraId="417FD3B9" w14:textId="77777777" w:rsidR="00F300CB" w:rsidRPr="00F300CB" w:rsidRDefault="00F300CB" w:rsidP="00F300C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00CB">
              <w:rPr>
                <w:rFonts w:ascii="Arial" w:hAnsi="Arial" w:cs="Arial"/>
                <w:b/>
                <w:lang w:val="en-US"/>
              </w:rPr>
              <w:t>Total Pay per Hour</w:t>
            </w:r>
          </w:p>
        </w:tc>
      </w:tr>
      <w:tr w:rsidR="00F300CB" w14:paraId="72D73B28" w14:textId="77777777" w:rsidTr="00F300CB">
        <w:tc>
          <w:tcPr>
            <w:tcW w:w="3080" w:type="dxa"/>
          </w:tcPr>
          <w:p w14:paraId="38150C48" w14:textId="77777777" w:rsidR="00F300CB" w:rsidRDefault="00F300CB" w:rsidP="00F300CB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A84FB21" w14:textId="4788E9DD" w:rsidR="00F300CB" w:rsidRDefault="00272C7E" w:rsidP="00F300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28443F">
              <w:rPr>
                <w:rFonts w:ascii="Arial" w:hAnsi="Arial" w:cs="Arial"/>
                <w:lang w:val="en-US"/>
              </w:rPr>
              <w:t>12.75</w:t>
            </w:r>
          </w:p>
        </w:tc>
        <w:tc>
          <w:tcPr>
            <w:tcW w:w="3081" w:type="dxa"/>
          </w:tcPr>
          <w:p w14:paraId="7AA2D3B6" w14:textId="77777777" w:rsidR="00F300CB" w:rsidRDefault="00F300CB" w:rsidP="00F300CB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3A0EC32" w14:textId="257B4114" w:rsidR="00F300CB" w:rsidRDefault="001D55A3" w:rsidP="00F300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£1.</w:t>
            </w:r>
            <w:r w:rsidR="0028443F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3081" w:type="dxa"/>
          </w:tcPr>
          <w:p w14:paraId="5F921666" w14:textId="77777777" w:rsidR="00F300CB" w:rsidRDefault="00F300CB" w:rsidP="00F300CB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27237E7" w14:textId="17584D3D" w:rsidR="00F300CB" w:rsidRDefault="00272C7E" w:rsidP="00F300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28443F">
              <w:rPr>
                <w:rFonts w:ascii="Arial" w:hAnsi="Arial" w:cs="Arial"/>
                <w:lang w:val="en-US"/>
              </w:rPr>
              <w:t>14.45</w:t>
            </w:r>
          </w:p>
        </w:tc>
      </w:tr>
    </w:tbl>
    <w:p w14:paraId="46056E1C" w14:textId="77777777" w:rsidR="00F300CB" w:rsidRPr="00F01CA2" w:rsidRDefault="00F300CB" w:rsidP="00F300CB">
      <w:pPr>
        <w:rPr>
          <w:rFonts w:ascii="Arial" w:hAnsi="Arial" w:cs="Arial"/>
        </w:rPr>
      </w:pPr>
    </w:p>
    <w:p w14:paraId="595E0D66" w14:textId="77777777" w:rsidR="00F01CA2" w:rsidRPr="00F01CA2" w:rsidRDefault="00F01CA2" w:rsidP="00F01CA2">
      <w:pPr>
        <w:rPr>
          <w:rFonts w:ascii="Arial" w:hAnsi="Arial" w:cs="Arial"/>
        </w:rPr>
      </w:pPr>
      <w:r w:rsidRPr="00F01CA2">
        <w:rPr>
          <w:rFonts w:ascii="Arial" w:hAnsi="Arial" w:cs="Arial"/>
        </w:rPr>
        <w:t xml:space="preserve">When quoting academic/professional and support PTHP rates in any correspondence, the </w:t>
      </w:r>
      <w:r>
        <w:rPr>
          <w:rFonts w:ascii="Arial" w:hAnsi="Arial" w:cs="Arial"/>
        </w:rPr>
        <w:t xml:space="preserve">basic pay per hour, the holiday pay per hour and the total </w:t>
      </w:r>
      <w:r w:rsidRPr="00F01CA2">
        <w:rPr>
          <w:rFonts w:ascii="Arial" w:hAnsi="Arial" w:cs="Arial"/>
        </w:rPr>
        <w:t>pay</w:t>
      </w:r>
      <w:r>
        <w:rPr>
          <w:rFonts w:ascii="Arial" w:hAnsi="Arial" w:cs="Arial"/>
        </w:rPr>
        <w:t xml:space="preserve"> per hour should</w:t>
      </w:r>
      <w:r w:rsidRPr="00F01CA2">
        <w:rPr>
          <w:rFonts w:ascii="Arial" w:hAnsi="Arial" w:cs="Arial"/>
        </w:rPr>
        <w:t xml:space="preserve"> always </w:t>
      </w:r>
      <w:r>
        <w:rPr>
          <w:rFonts w:ascii="Arial" w:hAnsi="Arial" w:cs="Arial"/>
        </w:rPr>
        <w:t xml:space="preserve">be quoted separately. </w:t>
      </w:r>
      <w:r w:rsidRPr="00F01CA2">
        <w:rPr>
          <w:rFonts w:ascii="Arial" w:hAnsi="Arial" w:cs="Arial"/>
        </w:rPr>
        <w:t xml:space="preserve">This is an important legal requirement stipulated under the Working Time Directive. </w:t>
      </w:r>
    </w:p>
    <w:p w14:paraId="0834EB1C" w14:textId="77777777" w:rsidR="00F01CA2" w:rsidRDefault="00F01CA2" w:rsidP="00F300CB">
      <w:pPr>
        <w:rPr>
          <w:rFonts w:ascii="Arial" w:hAnsi="Arial" w:cs="Arial"/>
          <w:b/>
        </w:rPr>
      </w:pPr>
    </w:p>
    <w:p w14:paraId="712C379B" w14:textId="77777777" w:rsidR="00F01CA2" w:rsidRDefault="00F01CA2" w:rsidP="00F300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Human Resources</w:t>
      </w:r>
    </w:p>
    <w:p w14:paraId="485E3C7B" w14:textId="2B286C7D" w:rsidR="00F01CA2" w:rsidRPr="00F300CB" w:rsidRDefault="00B333B1" w:rsidP="00F300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</w:t>
      </w:r>
      <w:r w:rsidR="00120300">
        <w:rPr>
          <w:rFonts w:ascii="Arial" w:hAnsi="Arial" w:cs="Arial"/>
          <w:b/>
        </w:rPr>
        <w:t xml:space="preserve"> 20</w:t>
      </w:r>
      <w:r w:rsidR="00487EC3">
        <w:rPr>
          <w:rFonts w:ascii="Arial" w:hAnsi="Arial" w:cs="Arial"/>
          <w:b/>
        </w:rPr>
        <w:t>2</w:t>
      </w:r>
      <w:r w:rsidR="0028443F">
        <w:rPr>
          <w:rFonts w:ascii="Arial" w:hAnsi="Arial" w:cs="Arial"/>
          <w:b/>
        </w:rPr>
        <w:t>4</w:t>
      </w:r>
    </w:p>
    <w:sectPr w:rsidR="00F01CA2" w:rsidRPr="00F30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CB"/>
    <w:rsid w:val="00041DD1"/>
    <w:rsid w:val="00051E08"/>
    <w:rsid w:val="001011C8"/>
    <w:rsid w:val="00120300"/>
    <w:rsid w:val="0013054B"/>
    <w:rsid w:val="001878F9"/>
    <w:rsid w:val="001A4B50"/>
    <w:rsid w:val="001B263A"/>
    <w:rsid w:val="001D55A3"/>
    <w:rsid w:val="002009D9"/>
    <w:rsid w:val="002106A1"/>
    <w:rsid w:val="00242AAE"/>
    <w:rsid w:val="00272C7E"/>
    <w:rsid w:val="0028443F"/>
    <w:rsid w:val="003774E4"/>
    <w:rsid w:val="003F6A9B"/>
    <w:rsid w:val="0046281D"/>
    <w:rsid w:val="00487EC3"/>
    <w:rsid w:val="004A7514"/>
    <w:rsid w:val="00503414"/>
    <w:rsid w:val="005135C9"/>
    <w:rsid w:val="00582756"/>
    <w:rsid w:val="006109FD"/>
    <w:rsid w:val="00655A67"/>
    <w:rsid w:val="006F2BEA"/>
    <w:rsid w:val="007020CE"/>
    <w:rsid w:val="00757F06"/>
    <w:rsid w:val="008D4C7C"/>
    <w:rsid w:val="008F0ACB"/>
    <w:rsid w:val="00904C93"/>
    <w:rsid w:val="00916642"/>
    <w:rsid w:val="009311DE"/>
    <w:rsid w:val="00961334"/>
    <w:rsid w:val="009F28B3"/>
    <w:rsid w:val="00B333B1"/>
    <w:rsid w:val="00BE3685"/>
    <w:rsid w:val="00BE7F3E"/>
    <w:rsid w:val="00BF2DD6"/>
    <w:rsid w:val="00C22F8D"/>
    <w:rsid w:val="00CF58EA"/>
    <w:rsid w:val="00DD0E23"/>
    <w:rsid w:val="00DE3C42"/>
    <w:rsid w:val="00E225E0"/>
    <w:rsid w:val="00E46097"/>
    <w:rsid w:val="00EB1914"/>
    <w:rsid w:val="00F01CA2"/>
    <w:rsid w:val="00F13B28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BF90"/>
  <w15:docId w15:val="{C312401E-EB56-42CE-9E1F-F17487DA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4781120F6B419EF128C5DE6313FB" ma:contentTypeVersion="36" ma:contentTypeDescription="Create a new document." ma:contentTypeScope="" ma:versionID="b4a522a958965903c7e206b5215ff6b9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D259749B-A2FA-4762-BAAE-748A846B9902" targetNamespace="http://schemas.microsoft.com/office/2006/metadata/properties" ma:root="true" ma:fieldsID="799040dc7c0bce0ea0256fdfb1b4983f" ns2:_="" ns3:_="" ns4:_="">
    <xsd:import namespace="7845b4e5-581f-4554-8843-a411c9829904"/>
    <xsd:import namespace="http://schemas.microsoft.com/sharepoint/v3/fields"/>
    <xsd:import namespace="D259749B-A2FA-4762-BAAE-748A846B99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4:Description0" minOccurs="0"/>
                <xsd:element ref="ns4:Author0" minOccurs="0"/>
                <xsd:element ref="ns4:School_x002f_PS" minOccurs="0"/>
                <xsd:element ref="ns4:Published_x0020_Date" minOccurs="0"/>
                <xsd:element ref="ns4:Expiry_x0020_Date" minOccurs="0"/>
                <xsd:element ref="ns4:Target_x0020_Audienc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Category" ma:format="Dropdown" ma:internalName="_Status" ma:readOnly="false">
      <xsd:simpleType>
        <xsd:union memberTypes="dms:Text">
          <xsd:simpleType>
            <xsd:restriction base="dms:Choice">
              <xsd:enumeration value="Corporate"/>
              <xsd:enumeration value="Delivery Plans"/>
              <xsd:enumeration value="Diversity and Equality"/>
              <xsd:enumeration value="Environment"/>
              <xsd:enumeration value="Finance"/>
              <xsd:enumeration value="Fire"/>
              <xsd:enumeration value="Fusion"/>
              <xsd:enumeration value="Health &amp; Safety"/>
              <xsd:enumeration value="HSS"/>
              <xsd:enumeration value="Information Security"/>
              <xsd:enumeration value="Initiatives and Projects"/>
              <xsd:enumeration value="IT Services"/>
              <xsd:enumeration value="Legal"/>
              <xsd:enumeration value="People"/>
              <xsd:enumeration value="Procurement"/>
              <xsd:enumeration value="Research"/>
              <xsd:enumeration value="Strategic"/>
              <xsd:enumeration value="Student Policies, Procedures &amp; Regulations"/>
              <xsd:enumeration value="Student Voic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749B-A2FA-4762-BAAE-748A846B990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Author0" ma:index="14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" ma:index="15" nillable="true" ma:displayName="Faculty/PS" ma:list="{EAC109AF-6888-4703-91C4-EBDD892487A8}" ma:internalName="School_x002f_P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Date" ma:index="16" nillable="true" ma:displayName="Published Date" ma:default="[today]" ma:format="DateOnly" ma:internalName="Published_x0020_Date" ma:readOnly="false">
      <xsd:simpleType>
        <xsd:restriction base="dms:DateTime"/>
      </xsd:simpleType>
    </xsd:element>
    <xsd:element name="Expiry_x0020_Date" ma:index="17" nillable="true" ma:displayName="Review Date" ma:format="DateOnly" ma:internalName="Expiry_x0020_Date" ma:readOnly="false">
      <xsd:simpleType>
        <xsd:restriction base="dms:DateTime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ategory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_x002f_PS xmlns="D259749B-A2FA-4762-BAAE-748A846B9902"/>
    <Author0 xmlns="D259749B-A2FA-4762-BAAE-748A846B9902">
      <UserInfo>
        <DisplayName>i:0#.w|staff\esheridan</DisplayName>
        <AccountId>24</AccountId>
        <AccountType/>
      </UserInfo>
    </Author0>
    <Target_x0020_Audiences xmlns="D259749B-A2FA-4762-BAAE-748A846B9902" xsi:nil="true"/>
    <_Status xmlns="http://schemas.microsoft.com/sharepoint/v3/fields" xsi:nil="true"/>
    <Published_x0020_Date xmlns="D259749B-A2FA-4762-BAAE-748A846B9902">2024-10-07T23:00:00+00:00</Published_x0020_Date>
    <Description0 xmlns="D259749B-A2FA-4762-BAAE-748A846B9902">Part-Time Hourly Paid Rates August 2024-</Description0>
    <Expiry_x0020_Date xmlns="D259749B-A2FA-4762-BAAE-748A846B9902">2025-10-07T23:00:00+00:00</Expiry_x0020_Date>
    <_dlc_DocId xmlns="7845b4e5-581f-4554-8843-a411c9829904">ZXDD766ENQDJ-737846793-3937</_dlc_DocId>
    <_dlc_DocIdUrl xmlns="7845b4e5-581f-4554-8843-a411c9829904">
      <Url>https://intranetsp.bournemouth.ac.uk/_layouts/15/DocIdRedir.aspx?ID=ZXDD766ENQDJ-737846793-3937</Url>
      <Description>ZXDD766ENQDJ-737846793-3937</Description>
    </_dlc_DocIdUrl>
  </documentManagement>
</p:properties>
</file>

<file path=customXml/itemProps1.xml><?xml version="1.0" encoding="utf-8"?>
<ds:datastoreItem xmlns:ds="http://schemas.openxmlformats.org/officeDocument/2006/customXml" ds:itemID="{1E4744DF-E0D3-4B29-9750-65C8FAB8E591}"/>
</file>

<file path=customXml/itemProps2.xml><?xml version="1.0" encoding="utf-8"?>
<ds:datastoreItem xmlns:ds="http://schemas.openxmlformats.org/officeDocument/2006/customXml" ds:itemID="{77678CC4-191C-412A-B118-98CC6BE4C96E}"/>
</file>

<file path=customXml/itemProps3.xml><?xml version="1.0" encoding="utf-8"?>
<ds:datastoreItem xmlns:ds="http://schemas.openxmlformats.org/officeDocument/2006/customXml" ds:itemID="{E32AA82A-94F8-4DBD-A468-DAC5D4781A8E}"/>
</file>

<file path=customXml/itemProps4.xml><?xml version="1.0" encoding="utf-8"?>
<ds:datastoreItem xmlns:ds="http://schemas.openxmlformats.org/officeDocument/2006/customXml" ds:itemID="{615F1476-387F-48AD-9182-A9BA0B1C8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1004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Hourly Paid Rates August 2024-</dc:title>
  <dc:creator>Elaine,Sheridan</dc:creator>
  <cp:keywords>Part-Time Hourly Paid Rates August 2024-</cp:keywords>
  <cp:lastModifiedBy>Katherine Jabbari</cp:lastModifiedBy>
  <cp:revision>2</cp:revision>
  <cp:lastPrinted>2019-08-27T13:12:00Z</cp:lastPrinted>
  <dcterms:created xsi:type="dcterms:W3CDTF">2024-10-08T14:02:00Z</dcterms:created>
  <dcterms:modified xsi:type="dcterms:W3CDTF">2024-10-08T14:02:00Z</dcterms:modified>
  <cp:contentStatus>People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0x010100FE4C4781120F6B419EF128C5DE6313FB</vt:lpwstr>
  </property>
  <property fmtid="{D5CDD505-2E9C-101B-9397-08002B2CF9AE}" pid="3" name="_dlc_DocIdItemGuid">
    <vt:lpwstr>ee5ade2b-064a-4b1b-b222-b2ddf452010a</vt:lpwstr>
  </property>
</Properties>
</file>